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仿宋_GB2312" w:eastAsia="仿宋_GB2312"/>
          <w:sz w:val="32"/>
          <w:szCs w:val="32"/>
          <w:lang w:val="en-US" w:eastAsia="zh-CN"/>
        </w:rPr>
      </w:pPr>
    </w:p>
    <w:p>
      <w:pPr>
        <w:pStyle w:val="6"/>
        <w:keepNext w:val="0"/>
        <w:keepLines w:val="0"/>
        <w:pageBreakBefore w:val="0"/>
        <w:widowControl w:val="0"/>
        <w:kinsoku/>
        <w:wordWrap/>
        <w:overflowPunct/>
        <w:topLinePunct w:val="0"/>
        <w:bidi w:val="0"/>
        <w:spacing w:before="0" w:after="0" w:line="500" w:lineRule="exact"/>
        <w:textAlignment w:val="auto"/>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lang w:val="en-US" w:eastAsia="zh-CN"/>
        </w:rPr>
        <w:t>滕州新奥能源物流港</w:t>
      </w:r>
      <w:r>
        <w:rPr>
          <w:rFonts w:hint="eastAsia" w:ascii="方正小标宋简体" w:hAnsi="黑体" w:eastAsia="方正小标宋简体" w:cs="方正小标宋简体"/>
          <w:b w:val="0"/>
          <w:bCs w:val="0"/>
          <w:color w:val="000000"/>
          <w:sz w:val="44"/>
          <w:szCs w:val="44"/>
        </w:rPr>
        <w:t>有限公司</w:t>
      </w:r>
    </w:p>
    <w:p>
      <w:pPr>
        <w:pStyle w:val="6"/>
        <w:keepNext w:val="0"/>
        <w:keepLines w:val="0"/>
        <w:pageBreakBefore w:val="0"/>
        <w:widowControl w:val="0"/>
        <w:kinsoku/>
        <w:wordWrap/>
        <w:overflowPunct/>
        <w:topLinePunct w:val="0"/>
        <w:bidi w:val="0"/>
        <w:spacing w:before="0" w:after="0" w:line="500" w:lineRule="exact"/>
        <w:textAlignment w:val="auto"/>
        <w:rPr>
          <w:rFonts w:ascii="仿宋_GB2312" w:cs="Times New Roman"/>
          <w:color w:val="000000"/>
          <w:sz w:val="36"/>
          <w:szCs w:val="36"/>
        </w:rPr>
      </w:pPr>
      <w:r>
        <w:rPr>
          <w:rFonts w:hint="eastAsia" w:ascii="方正小标宋简体" w:hAnsi="黑体" w:eastAsia="方正小标宋简体" w:cs="方正小标宋简体"/>
          <w:b w:val="0"/>
          <w:bCs w:val="0"/>
          <w:color w:val="000000"/>
          <w:sz w:val="44"/>
          <w:szCs w:val="44"/>
          <w:lang w:val="en-US" w:eastAsia="zh-CN"/>
        </w:rPr>
        <w:t>2023</w:t>
      </w:r>
      <w:r>
        <w:rPr>
          <w:rFonts w:hint="eastAsia" w:ascii="方正小标宋简体" w:hAnsi="黑体" w:eastAsia="方正小标宋简体" w:cs="方正小标宋简体"/>
          <w:b w:val="0"/>
          <w:bCs w:val="0"/>
          <w:color w:val="000000"/>
          <w:sz w:val="44"/>
          <w:szCs w:val="44"/>
        </w:rPr>
        <w:t>年</w:t>
      </w:r>
      <w:r>
        <w:rPr>
          <w:rFonts w:hint="eastAsia" w:ascii="方正小标宋简体" w:hAnsi="黑体" w:eastAsia="方正小标宋简体" w:cs="方正小标宋简体"/>
          <w:b w:val="0"/>
          <w:bCs w:val="0"/>
          <w:color w:val="000000"/>
          <w:sz w:val="44"/>
          <w:szCs w:val="44"/>
          <w:lang w:val="en-US" w:eastAsia="zh-CN"/>
        </w:rPr>
        <w:t>第</w:t>
      </w:r>
      <w:bookmarkStart w:id="0" w:name="_GoBack"/>
      <w:bookmarkEnd w:id="0"/>
      <w:r>
        <w:rPr>
          <w:rFonts w:hint="eastAsia" w:ascii="方正小标宋简体" w:hAnsi="黑体" w:eastAsia="方正小标宋简体" w:cs="方正小标宋简体"/>
          <w:b w:val="0"/>
          <w:bCs w:val="0"/>
          <w:color w:val="000000"/>
          <w:sz w:val="44"/>
          <w:szCs w:val="44"/>
          <w:lang w:val="en-US" w:eastAsia="zh-CN"/>
        </w:rPr>
        <w:t>三季度</w:t>
      </w:r>
      <w:r>
        <w:rPr>
          <w:rFonts w:hint="eastAsia" w:ascii="方正小标宋简体" w:hAnsi="黑体" w:eastAsia="方正小标宋简体" w:cs="方正小标宋简体"/>
          <w:b w:val="0"/>
          <w:bCs w:val="0"/>
          <w:color w:val="000000"/>
          <w:sz w:val="44"/>
          <w:szCs w:val="44"/>
        </w:rPr>
        <w:t>信息公告</w:t>
      </w:r>
    </w:p>
    <w:p>
      <w:pPr>
        <w:keepNext w:val="0"/>
        <w:keepLines w:val="0"/>
        <w:pageBreakBefore w:val="0"/>
        <w:widowControl w:val="0"/>
        <w:kinsoku/>
        <w:wordWrap/>
        <w:overflowPunct/>
        <w:topLinePunct w:val="0"/>
        <w:autoSpaceDE w:val="0"/>
        <w:autoSpaceDN w:val="0"/>
        <w:bidi w:val="0"/>
        <w:adjustRightInd w:val="0"/>
        <w:spacing w:line="500" w:lineRule="exact"/>
        <w:jc w:val="center"/>
        <w:textAlignment w:val="auto"/>
        <w:rPr>
          <w:rFonts w:ascii="仿宋_GB2312" w:cs="Times New Roman"/>
          <w:color w:val="000000"/>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val="0"/>
        <w:snapToGrid w:val="0"/>
        <w:spacing w:line="500" w:lineRule="exact"/>
        <w:ind w:firstLine="480" w:firstLineChars="150"/>
        <w:textAlignment w:val="auto"/>
        <w:rPr>
          <w:rFonts w:ascii="仿宋_GB2312" w:eastAsia="仿宋_GB2312" w:cs="Times New Roman"/>
          <w:sz w:val="32"/>
          <w:szCs w:val="32"/>
        </w:rPr>
      </w:pPr>
      <w:r>
        <w:rPr>
          <w:rFonts w:hint="eastAsia" w:ascii="仿宋_GB2312" w:eastAsia="仿宋_GB2312" w:cs="仿宋_GB2312"/>
          <w:sz w:val="32"/>
          <w:szCs w:val="32"/>
        </w:rPr>
        <w:t>本公司保证本公告内容不存在任何虚假记载、误导性陈述或者重大遗漏，并对其内容的真实性、准确性和完整性承担个别及连带责任。</w:t>
      </w:r>
    </w:p>
    <w:p>
      <w:pPr>
        <w:keepNext w:val="0"/>
        <w:keepLines w:val="0"/>
        <w:pageBreakBefore w:val="0"/>
        <w:widowControl w:val="0"/>
        <w:kinsoku/>
        <w:wordWrap/>
        <w:overflowPunct/>
        <w:topLinePunct w:val="0"/>
        <w:bidi w:val="0"/>
        <w:adjustRightInd w:val="0"/>
        <w:snapToGrid w:val="0"/>
        <w:spacing w:line="500" w:lineRule="exact"/>
        <w:ind w:firstLine="422" w:firstLineChars="200"/>
        <w:textAlignment w:val="auto"/>
        <w:rPr>
          <w:rFonts w:ascii="宋体" w:hAnsi="宋体" w:eastAsia="宋体" w:cs="Times New Roman"/>
          <w:b/>
          <w:bCs/>
          <w:color w:val="000000"/>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cs="Times New Roman"/>
          <w:b w:val="0"/>
          <w:bCs w:val="0"/>
          <w:sz w:val="32"/>
          <w:szCs w:val="32"/>
        </w:rPr>
      </w:pPr>
      <w:r>
        <w:rPr>
          <w:rFonts w:hint="eastAsia" w:ascii="黑体" w:hAnsi="黑体" w:eastAsia="黑体" w:cs="黑体"/>
          <w:b w:val="0"/>
          <w:bCs w:val="0"/>
          <w:sz w:val="32"/>
          <w:szCs w:val="32"/>
        </w:rPr>
        <w:t>一、公司基本情况</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1．中文名称：滕州新奥能源物流港有限公司                </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简   称：滕州港公司</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2．外文名称：无</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3．法定代表人：田建国</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4．注册地址：山东省枣庄市滕州市滨湖镇后辛安村70米处。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经营范围：许可项目：港口经营；道路货物运输（网络货运）；道路货物运输（不含危险货物）；各类工程建设活动；房地产开发经营；省际普通货船运输、省内船舶运输。（依法须经批准的项目，经相关部门批准后方可开展经营活动，具体经营项目以相关部门批准文件或许可证件为准）一般项目：港口理货；国内货物运输代理；信息咨询服务（不含许可类信息咨询服务）；港口货物装卸搬运活动；普通货物仓储服务（不含危险化学品等需许可审批的项目）；煤炭洗选；煤炭及制品销售；销售代理；机械设备销售；建筑用金属配件销售；建筑材料销售；金属矿石销售；非金属矿及制品销售；金属结构销售；无船承运业务；国内集装箱货物运输代理；国内船舶代理；园林绿化工程施工；非居住房地产租赁；装卸搬运；道路货物运输站经营；食用农产品零售；食用农产品批发；住房租赁；以自有资金从事投资活动。（除依法须经批准的项目外，凭营业执照依法自主开展经营活动）。</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6．办公地址：山东省枣庄市滕州市滨湖镇后辛安村70米处    邮政编码：277500</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7．网址：无</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8．电子信箱:tzxany@163.com </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公司简介:滕州新奥能源物流港有限公司于2017年1月5日，注册资金5500万元，总投资约2.6亿元，设计吞吐能力866万吨。公司由山东水运发展集团有限公司联合山东商润投资集团有限公司共同出资设立，其中山东水运发展集团有限公司持有55%的股份、山东商润投资集团有限公司持有45%的股份。公司经营以航道运输和仓储服务为主，货物涵盖建筑材料、煤炭、能源、粮食等大宗货物。</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二、季度内发生的重大事项及对企业的影响</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spacing w:val="0"/>
          <w:sz w:val="32"/>
          <w:szCs w:val="32"/>
          <w:highlight w:val="none"/>
          <w:lang w:val="en-US" w:eastAsia="zh-CN"/>
        </w:rPr>
      </w:pPr>
      <w:r>
        <w:rPr>
          <w:rFonts w:hint="eastAsia" w:ascii="仿宋_GB2312" w:hAnsi="仿宋_GB2312" w:eastAsia="仿宋_GB2312" w:cs="仿宋_GB2312"/>
          <w:b w:val="0"/>
          <w:bCs w:val="0"/>
          <w:spacing w:val="0"/>
          <w:sz w:val="32"/>
          <w:szCs w:val="32"/>
          <w:highlight w:val="none"/>
          <w:lang w:val="en-US" w:eastAsia="zh-CN"/>
        </w:rPr>
        <w:t>（一）重大决策</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spacing w:val="0"/>
          <w:sz w:val="32"/>
          <w:szCs w:val="32"/>
          <w:highlight w:val="none"/>
          <w:lang w:val="en-US" w:eastAsia="zh-CN"/>
        </w:rPr>
      </w:pPr>
      <w:r>
        <w:rPr>
          <w:rFonts w:hint="eastAsia" w:ascii="仿宋_GB2312" w:hAnsi="仿宋_GB2312" w:eastAsia="仿宋_GB2312" w:cs="仿宋_GB2312"/>
          <w:b w:val="0"/>
          <w:bCs w:val="0"/>
          <w:spacing w:val="0"/>
          <w:sz w:val="32"/>
          <w:szCs w:val="32"/>
          <w:highlight w:val="none"/>
          <w:lang w:val="en-US" w:eastAsia="zh-CN"/>
        </w:rPr>
        <w:t>报告期内经公司董事会审议通过的重大决策有</w:t>
      </w:r>
      <w:r>
        <w:rPr>
          <w:rFonts w:hint="eastAsia" w:ascii="仿宋_GB2312" w:hAnsi="宋体" w:eastAsia="仿宋_GB2312" w:cs="Times New Roman"/>
          <w:kern w:val="2"/>
          <w:sz w:val="32"/>
          <w:szCs w:val="32"/>
          <w:lang w:val="en-US" w:eastAsia="zh-CN" w:bidi="ar-SA"/>
        </w:rPr>
        <w:t>《关于向齐鲁银行济南浆水泉支行申请供应链融资业务的议案》《关于以土地使用权抵押向青岛银行枣庄滕州支行申请授信借入资金的议案》等</w:t>
      </w:r>
      <w:r>
        <w:rPr>
          <w:rFonts w:hint="eastAsia" w:ascii="仿宋_GB2312" w:hAnsi="仿宋_GB2312" w:eastAsia="仿宋_GB2312" w:cs="仿宋_GB2312"/>
          <w:b w:val="0"/>
          <w:bCs w:val="0"/>
          <w:spacing w:val="0"/>
          <w:sz w:val="32"/>
          <w:szCs w:val="32"/>
          <w:highlight w:val="none"/>
          <w:lang w:val="en-US" w:eastAsia="zh-CN"/>
        </w:rPr>
        <w:t>6项议案。</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spacing w:val="0"/>
          <w:sz w:val="32"/>
          <w:szCs w:val="32"/>
          <w:highlight w:val="none"/>
          <w:lang w:val="en-US" w:eastAsia="zh-CN"/>
        </w:rPr>
      </w:pPr>
      <w:r>
        <w:rPr>
          <w:rFonts w:hint="eastAsia" w:ascii="仿宋_GB2312" w:hAnsi="仿宋_GB2312" w:eastAsia="仿宋_GB2312" w:cs="仿宋_GB2312"/>
          <w:b w:val="0"/>
          <w:bCs w:val="0"/>
          <w:spacing w:val="0"/>
          <w:sz w:val="32"/>
          <w:szCs w:val="32"/>
          <w:highlight w:val="none"/>
          <w:lang w:val="en-US" w:eastAsia="zh-CN"/>
        </w:rPr>
        <w:t>（二）重大项目安排</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b w:val="0"/>
          <w:bCs w:val="0"/>
          <w:spacing w:val="0"/>
          <w:sz w:val="32"/>
          <w:szCs w:val="32"/>
          <w:highlight w:val="none"/>
          <w:lang w:val="en-US" w:eastAsia="zh-CN"/>
        </w:rPr>
      </w:pPr>
      <w:r>
        <w:rPr>
          <w:rFonts w:hint="eastAsia" w:ascii="仿宋_GB2312" w:hAnsi="仿宋_GB2312" w:eastAsia="仿宋_GB2312" w:cs="仿宋_GB2312"/>
          <w:b w:val="0"/>
          <w:bCs w:val="0"/>
          <w:spacing w:val="0"/>
          <w:sz w:val="32"/>
          <w:szCs w:val="32"/>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spacing w:val="0"/>
          <w:sz w:val="32"/>
          <w:szCs w:val="32"/>
          <w:highlight w:val="none"/>
          <w:lang w:val="en-US" w:eastAsia="zh-CN"/>
        </w:rPr>
      </w:pPr>
      <w:r>
        <w:rPr>
          <w:rFonts w:hint="eastAsia" w:ascii="仿宋_GB2312" w:hAnsi="仿宋_GB2312" w:eastAsia="仿宋_GB2312" w:cs="仿宋_GB2312"/>
          <w:b w:val="0"/>
          <w:bCs w:val="0"/>
          <w:spacing w:val="0"/>
          <w:sz w:val="32"/>
          <w:szCs w:val="32"/>
          <w:highlight w:val="none"/>
          <w:lang w:val="en-US" w:eastAsia="zh-CN"/>
        </w:rPr>
        <w:t>（三）重要人事任免</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b w:val="0"/>
          <w:bCs w:val="0"/>
          <w:spacing w:val="0"/>
          <w:sz w:val="32"/>
          <w:szCs w:val="32"/>
          <w:highlight w:val="none"/>
          <w:lang w:val="en-US" w:eastAsia="zh-CN"/>
        </w:rPr>
      </w:pPr>
      <w:r>
        <w:rPr>
          <w:rFonts w:hint="eastAsia" w:ascii="仿宋_GB2312" w:hAnsi="仿宋_GB2312" w:eastAsia="仿宋_GB2312" w:cs="仿宋_GB2312"/>
          <w:b w:val="0"/>
          <w:bCs w:val="0"/>
          <w:spacing w:val="0"/>
          <w:sz w:val="32"/>
          <w:szCs w:val="32"/>
          <w:highlight w:val="none"/>
          <w:lang w:val="en-US" w:eastAsia="zh-CN"/>
        </w:rPr>
        <w:t xml:space="preserve"> 无</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spacing w:val="0"/>
          <w:sz w:val="32"/>
          <w:szCs w:val="32"/>
          <w:highlight w:val="none"/>
          <w:lang w:val="en-US" w:eastAsia="zh-CN"/>
        </w:rPr>
      </w:pPr>
      <w:r>
        <w:rPr>
          <w:rFonts w:hint="eastAsia" w:ascii="仿宋_GB2312" w:hAnsi="仿宋_GB2312" w:eastAsia="仿宋_GB2312" w:cs="仿宋_GB2312"/>
          <w:b w:val="0"/>
          <w:bCs w:val="0"/>
          <w:spacing w:val="0"/>
          <w:sz w:val="32"/>
          <w:szCs w:val="32"/>
          <w:highlight w:val="none"/>
          <w:lang w:val="en-US" w:eastAsia="zh-CN"/>
        </w:rPr>
        <w:t>大额资金使用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lang w:val="en-US" w:eastAsia="zh-CN"/>
        </w:rPr>
      </w:pPr>
      <w:r>
        <w:rPr>
          <w:rFonts w:hint="eastAsia" w:ascii="仿宋_GB2312" w:hAnsi="仿宋_GB2312" w:eastAsia="仿宋_GB2312" w:cs="仿宋_GB2312"/>
          <w:b w:val="0"/>
          <w:bCs w:val="0"/>
          <w:spacing w:val="0"/>
          <w:kern w:val="2"/>
          <w:sz w:val="32"/>
          <w:szCs w:val="32"/>
          <w:highlight w:val="none"/>
          <w:lang w:val="en-US" w:eastAsia="zh-CN" w:bidi="ar-SA"/>
        </w:rPr>
        <w:t>报告期内，公司大额资金使用按照《滕州新奥能源物流港有限公司2023年度预算》执行。</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right"/>
        <w:textAlignment w:val="auto"/>
        <w:rPr>
          <w:rFonts w:hint="eastAsia" w:asci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right"/>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滕州新奥能源物流港有限公司</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center"/>
        <w:textAlignment w:val="auto"/>
        <w:rPr>
          <w:rFonts w:hint="default" w:ascii="仿宋_GB2312" w:hAnsi="仿宋_GB2312" w:eastAsia="仿宋_GB2312" w:cs="仿宋_GB2312"/>
          <w:sz w:val="32"/>
          <w:szCs w:val="40"/>
          <w:lang w:val="en-US" w:eastAsia="zh-CN"/>
        </w:rPr>
      </w:pPr>
      <w:r>
        <w:rPr>
          <w:rFonts w:hint="eastAsia" w:ascii="仿宋_GB2312" w:eastAsia="仿宋_GB2312" w:cs="仿宋_GB2312"/>
          <w:sz w:val="32"/>
          <w:szCs w:val="32"/>
          <w:lang w:val="en-US" w:eastAsia="zh-CN"/>
        </w:rPr>
        <w:t xml:space="preserve">                   </w:t>
      </w:r>
      <w:r>
        <w:rPr>
          <w:rFonts w:hint="eastAsia" w:ascii="仿宋_GB2312" w:eastAsia="仿宋_GB2312" w:cs="仿宋_GB2312"/>
          <w:spacing w:val="0"/>
          <w:sz w:val="32"/>
          <w:szCs w:val="32"/>
          <w:lang w:val="en-US" w:eastAsia="zh-CN"/>
        </w:rPr>
        <w:t xml:space="preserve"> 2023</w:t>
      </w:r>
      <w:r>
        <w:rPr>
          <w:rFonts w:hint="eastAsia" w:ascii="仿宋_GB2312" w:eastAsia="仿宋_GB2312" w:cs="仿宋_GB2312"/>
          <w:spacing w:val="0"/>
          <w:sz w:val="32"/>
          <w:szCs w:val="32"/>
        </w:rPr>
        <w:t>年</w:t>
      </w:r>
      <w:r>
        <w:rPr>
          <w:rFonts w:hint="eastAsia" w:ascii="仿宋_GB2312" w:eastAsia="仿宋_GB2312" w:cs="仿宋_GB2312"/>
          <w:spacing w:val="0"/>
          <w:sz w:val="32"/>
          <w:szCs w:val="32"/>
          <w:lang w:val="en-US" w:eastAsia="zh-CN"/>
        </w:rPr>
        <w:t xml:space="preserve"> 10月10</w:t>
      </w:r>
      <w:r>
        <w:rPr>
          <w:rFonts w:hint="eastAsia" w:ascii="仿宋_GB2312" w:eastAsia="仿宋_GB2312" w:cs="仿宋_GB2312"/>
          <w:spacing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5D45D"/>
    <w:multiLevelType w:val="singleLevel"/>
    <w:tmpl w:val="6195D45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MzQ4MjNkY2E3YWY2ZDhkZjUxMzFiNzE2Mzg4NmEifQ=="/>
  </w:docVars>
  <w:rsids>
    <w:rsidRoot w:val="7C130BA4"/>
    <w:rsid w:val="012B30EC"/>
    <w:rsid w:val="01CA72C2"/>
    <w:rsid w:val="02FE4E8D"/>
    <w:rsid w:val="03CD4B7F"/>
    <w:rsid w:val="058D0DE4"/>
    <w:rsid w:val="05FA5454"/>
    <w:rsid w:val="06DA075B"/>
    <w:rsid w:val="06EF2A3A"/>
    <w:rsid w:val="09585F15"/>
    <w:rsid w:val="0BF6185F"/>
    <w:rsid w:val="0DC52016"/>
    <w:rsid w:val="0E3463B4"/>
    <w:rsid w:val="10666A1E"/>
    <w:rsid w:val="113A2FC2"/>
    <w:rsid w:val="11C15CE9"/>
    <w:rsid w:val="11C27B2C"/>
    <w:rsid w:val="13FB7F63"/>
    <w:rsid w:val="1A2D6557"/>
    <w:rsid w:val="1B016FCB"/>
    <w:rsid w:val="1B9A6B77"/>
    <w:rsid w:val="1BA50C8F"/>
    <w:rsid w:val="1CCA5FC6"/>
    <w:rsid w:val="1FB91EC1"/>
    <w:rsid w:val="235F7240"/>
    <w:rsid w:val="290F0D9A"/>
    <w:rsid w:val="2963443F"/>
    <w:rsid w:val="30B24117"/>
    <w:rsid w:val="340F4D7C"/>
    <w:rsid w:val="344572AC"/>
    <w:rsid w:val="34A274DA"/>
    <w:rsid w:val="37993288"/>
    <w:rsid w:val="39CD0FE3"/>
    <w:rsid w:val="39D91422"/>
    <w:rsid w:val="3A3558DD"/>
    <w:rsid w:val="3BD633F4"/>
    <w:rsid w:val="3C3C2D43"/>
    <w:rsid w:val="3D33580E"/>
    <w:rsid w:val="3D91504D"/>
    <w:rsid w:val="3F844153"/>
    <w:rsid w:val="4370620F"/>
    <w:rsid w:val="43FC7F46"/>
    <w:rsid w:val="44AB3406"/>
    <w:rsid w:val="45B274EE"/>
    <w:rsid w:val="462B5EFD"/>
    <w:rsid w:val="47F872CC"/>
    <w:rsid w:val="49606191"/>
    <w:rsid w:val="4B5954F5"/>
    <w:rsid w:val="4E816761"/>
    <w:rsid w:val="50973B3B"/>
    <w:rsid w:val="51466263"/>
    <w:rsid w:val="514C45E2"/>
    <w:rsid w:val="55F45B90"/>
    <w:rsid w:val="569C1014"/>
    <w:rsid w:val="5B861265"/>
    <w:rsid w:val="5CD46C7E"/>
    <w:rsid w:val="5E3F526E"/>
    <w:rsid w:val="64191AFC"/>
    <w:rsid w:val="65E33829"/>
    <w:rsid w:val="66B64451"/>
    <w:rsid w:val="67AF1A07"/>
    <w:rsid w:val="698B36C9"/>
    <w:rsid w:val="6CA257BD"/>
    <w:rsid w:val="6E0F37D1"/>
    <w:rsid w:val="6E9B1F95"/>
    <w:rsid w:val="6F837FAB"/>
    <w:rsid w:val="70F761F2"/>
    <w:rsid w:val="773E7457"/>
    <w:rsid w:val="792E62C1"/>
    <w:rsid w:val="7C130BA4"/>
    <w:rsid w:val="7D3C4AEA"/>
    <w:rsid w:val="7EE34488"/>
    <w:rsid w:val="7F2F3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leftChars="200" w:firstLine="420"/>
    </w:pPr>
  </w:style>
  <w:style w:type="paragraph" w:styleId="3">
    <w:name w:val="Body Text Indent"/>
    <w:basedOn w:val="1"/>
    <w:qFormat/>
    <w:uiPriority w:val="0"/>
    <w:pPr>
      <w:spacing w:line="640" w:lineRule="atLeast"/>
      <w:ind w:firstLine="567"/>
    </w:pPr>
    <w:rPr>
      <w:rFonts w:ascii="宋体" w:hAnsi="宋体"/>
      <w:b/>
      <w:sz w:val="28"/>
    </w:rPr>
  </w:style>
  <w:style w:type="paragraph" w:styleId="4">
    <w:name w:val="toa heading"/>
    <w:basedOn w:val="1"/>
    <w:next w:val="1"/>
    <w:qFormat/>
    <w:uiPriority w:val="0"/>
    <w:pPr>
      <w:spacing w:before="120"/>
    </w:pPr>
    <w:rPr>
      <w:rFonts w:ascii="Arial" w:hAnsi="Arial"/>
      <w:sz w:val="24"/>
      <w:szCs w:val="20"/>
    </w:rPr>
  </w:style>
  <w:style w:type="paragraph" w:styleId="5">
    <w:name w:val="Normal (Web)"/>
    <w:basedOn w:val="1"/>
    <w:unhideWhenUsed/>
    <w:qFormat/>
    <w:uiPriority w:val="0"/>
    <w:pPr>
      <w:spacing w:beforeAutospacing="1" w:afterAutospacing="1"/>
      <w:jc w:val="left"/>
    </w:pPr>
    <w:rPr>
      <w:kern w:val="0"/>
      <w:sz w:val="24"/>
    </w:rPr>
  </w:style>
  <w:style w:type="paragraph" w:styleId="6">
    <w:name w:val="Title"/>
    <w:basedOn w:val="1"/>
    <w:next w:val="1"/>
    <w:qFormat/>
    <w:uiPriority w:val="99"/>
    <w:pPr>
      <w:spacing w:before="240" w:after="60"/>
      <w:jc w:val="center"/>
      <w:outlineLvl w:val="0"/>
    </w:pPr>
    <w:rPr>
      <w:rFonts w:ascii="Cambria" w:hAnsi="Cambria" w:eastAsia="宋体" w:cs="Cambria"/>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1379</Words>
  <Characters>1497</Characters>
  <Lines>0</Lines>
  <Paragraphs>0</Paragraphs>
  <TotalTime>224</TotalTime>
  <ScaleCrop>false</ScaleCrop>
  <LinksUpToDate>false</LinksUpToDate>
  <CharactersWithSpaces>1543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2021-06-10T11:21:00Z</dcterms:created>
  <dc:creator>summer</dc:creator>
  <cp:lastModifiedBy>张翮</cp:lastModifiedBy>
  <cp:lastPrinted>2021-06-23T03:54:00Z</cp:lastPrinted>
  <dcterms:modified xsi:type="dcterms:W3CDTF">2023-10-11T05:58:25Z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57713A4A2788491FAD87EB532A40686C_13</vt:lpwstr>
  </property>
</Properties>
</file>